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EA" w:rsidRPr="00F5769C" w:rsidRDefault="00023D7A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ПРОТОКОЛ</w:t>
      </w:r>
      <w:r w:rsidR="001272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23D7A" w:rsidRDefault="008846BD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610BC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026EA"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610BC9">
        <w:rPr>
          <w:rFonts w:ascii="Times New Roman" w:hAnsi="Times New Roman" w:cs="Times New Roman"/>
          <w:sz w:val="24"/>
          <w:szCs w:val="24"/>
        </w:rPr>
        <w:t>и</w:t>
      </w:r>
      <w:r w:rsidR="000026E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610BC9">
        <w:rPr>
          <w:rFonts w:ascii="Times New Roman" w:hAnsi="Times New Roman" w:cs="Times New Roman"/>
          <w:sz w:val="24"/>
          <w:szCs w:val="24"/>
        </w:rPr>
        <w:t xml:space="preserve">банков на получение права размещения на депозите денежных средств Тульского областного гарантийного фонда </w:t>
      </w:r>
    </w:p>
    <w:p w:rsidR="00610BC9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BC9" w:rsidRPr="00F5769C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576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10F">
        <w:rPr>
          <w:rFonts w:ascii="Times New Roman" w:hAnsi="Times New Roman" w:cs="Times New Roman"/>
          <w:sz w:val="24"/>
          <w:szCs w:val="24"/>
        </w:rPr>
        <w:t>18</w:t>
      </w:r>
      <w:r w:rsidR="00610BC9">
        <w:rPr>
          <w:rFonts w:ascii="Times New Roman" w:hAnsi="Times New Roman" w:cs="Times New Roman"/>
          <w:sz w:val="24"/>
          <w:szCs w:val="24"/>
        </w:rPr>
        <w:t xml:space="preserve"> </w:t>
      </w:r>
      <w:r w:rsidR="00A6310F">
        <w:rPr>
          <w:rFonts w:ascii="Times New Roman" w:hAnsi="Times New Roman" w:cs="Times New Roman"/>
          <w:sz w:val="24"/>
          <w:szCs w:val="24"/>
        </w:rPr>
        <w:t>дека</w:t>
      </w:r>
      <w:r w:rsidR="00E83317">
        <w:rPr>
          <w:rFonts w:ascii="Times New Roman" w:hAnsi="Times New Roman" w:cs="Times New Roman"/>
          <w:sz w:val="24"/>
          <w:szCs w:val="24"/>
        </w:rPr>
        <w:t>бря</w:t>
      </w:r>
      <w:r w:rsidR="00610BC9">
        <w:rPr>
          <w:rFonts w:ascii="Times New Roman" w:hAnsi="Times New Roman" w:cs="Times New Roman"/>
          <w:sz w:val="24"/>
          <w:szCs w:val="24"/>
        </w:rPr>
        <w:t xml:space="preserve"> 2014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769C" w:rsidRPr="00F5769C" w:rsidRDefault="00F5769C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BC9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 w:rsidR="00610BC9">
        <w:rPr>
          <w:rFonts w:ascii="Times New Roman" w:hAnsi="Times New Roman" w:cs="Times New Roman"/>
          <w:sz w:val="24"/>
          <w:szCs w:val="24"/>
        </w:rPr>
        <w:t>среди банков на получение права размещения на депозите денежных средств Тульского областного гарантийного фонда.</w:t>
      </w:r>
    </w:p>
    <w:p w:rsidR="00023D7A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 w:rsidR="00610BC9"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F5769C"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F5769C" w:rsidRPr="00F5769C" w:rsidRDefault="00F5769C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0D31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</w:t>
      </w:r>
      <w:r w:rsidR="00840D31">
        <w:rPr>
          <w:rFonts w:ascii="Times New Roman" w:hAnsi="Times New Roman" w:cs="Times New Roman"/>
          <w:sz w:val="24"/>
          <w:szCs w:val="24"/>
        </w:rPr>
        <w:t>первого этапа заседания конкурсной комиссии: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7A" w:rsidRDefault="0072734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D31">
        <w:rPr>
          <w:rFonts w:ascii="Times New Roman" w:hAnsi="Times New Roman" w:cs="Times New Roman"/>
          <w:sz w:val="24"/>
          <w:szCs w:val="24"/>
        </w:rPr>
        <w:t xml:space="preserve">ервый этап заседания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840D31" w:rsidRPr="00840D31">
        <w:rPr>
          <w:rFonts w:ascii="Times New Roman" w:hAnsi="Times New Roman" w:cs="Times New Roman"/>
          <w:sz w:val="24"/>
          <w:szCs w:val="24"/>
        </w:rPr>
        <w:t xml:space="preserve">конкурсной комиссии по отбору банков на получение права размещения на депозите денежных средств Тульского областного гарантийного фонда </w:t>
      </w:r>
      <w:r w:rsidR="00840D31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 </w:t>
      </w:r>
      <w:r w:rsidR="00023D7A" w:rsidRPr="00F5769C">
        <w:rPr>
          <w:rFonts w:ascii="Times New Roman" w:hAnsi="Times New Roman" w:cs="Times New Roman"/>
          <w:sz w:val="24"/>
          <w:szCs w:val="24"/>
        </w:rPr>
        <w:t>проводи</w:t>
      </w:r>
      <w:r w:rsidR="00A16791">
        <w:rPr>
          <w:rFonts w:ascii="Times New Roman" w:hAnsi="Times New Roman" w:cs="Times New Roman"/>
          <w:sz w:val="24"/>
          <w:szCs w:val="24"/>
        </w:rPr>
        <w:t>тся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840D31">
        <w:rPr>
          <w:rFonts w:ascii="Times New Roman" w:hAnsi="Times New Roman" w:cs="Times New Roman"/>
          <w:sz w:val="24"/>
          <w:szCs w:val="24"/>
        </w:rPr>
        <w:t xml:space="preserve">в </w:t>
      </w:r>
      <w:r w:rsidR="00A6310F">
        <w:rPr>
          <w:rFonts w:ascii="Times New Roman" w:hAnsi="Times New Roman" w:cs="Times New Roman"/>
          <w:sz w:val="24"/>
          <w:szCs w:val="24"/>
        </w:rPr>
        <w:t>10</w:t>
      </w:r>
      <w:r w:rsidR="00840D3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6310F">
        <w:rPr>
          <w:rFonts w:ascii="Times New Roman" w:hAnsi="Times New Roman" w:cs="Times New Roman"/>
          <w:sz w:val="24"/>
          <w:szCs w:val="24"/>
        </w:rPr>
        <w:t>0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0 </w:t>
      </w:r>
      <w:r w:rsidR="00840D31">
        <w:rPr>
          <w:rFonts w:ascii="Times New Roman" w:hAnsi="Times New Roman" w:cs="Times New Roman"/>
          <w:sz w:val="24"/>
          <w:szCs w:val="24"/>
        </w:rPr>
        <w:t>минут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по местному времени </w:t>
      </w:r>
      <w:r w:rsidR="00A6310F">
        <w:rPr>
          <w:rFonts w:ascii="Times New Roman" w:hAnsi="Times New Roman" w:cs="Times New Roman"/>
          <w:sz w:val="24"/>
          <w:szCs w:val="24"/>
        </w:rPr>
        <w:t>18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A6310F">
        <w:rPr>
          <w:rFonts w:ascii="Times New Roman" w:hAnsi="Times New Roman" w:cs="Times New Roman"/>
          <w:sz w:val="24"/>
          <w:szCs w:val="24"/>
        </w:rPr>
        <w:t>дека</w:t>
      </w:r>
      <w:r w:rsidR="00840D31">
        <w:rPr>
          <w:rFonts w:ascii="Times New Roman" w:hAnsi="Times New Roman" w:cs="Times New Roman"/>
          <w:sz w:val="24"/>
          <w:szCs w:val="24"/>
        </w:rPr>
        <w:t>бря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 w:rsidR="00840D31">
        <w:rPr>
          <w:rFonts w:ascii="Times New Roman" w:hAnsi="Times New Roman" w:cs="Times New Roman"/>
          <w:sz w:val="24"/>
          <w:szCs w:val="24"/>
        </w:rPr>
        <w:t>4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по адресу: г. Тула, ул. Жаворонкова, д. 2, офис </w:t>
      </w:r>
      <w:r w:rsidR="00EE76A9" w:rsidRPr="00F5769C">
        <w:rPr>
          <w:rFonts w:ascii="Times New Roman" w:hAnsi="Times New Roman" w:cs="Times New Roman"/>
          <w:sz w:val="24"/>
          <w:szCs w:val="24"/>
        </w:rPr>
        <w:t>400</w:t>
      </w:r>
      <w:r w:rsidR="00023D7A" w:rsidRPr="00F5769C">
        <w:rPr>
          <w:rFonts w:ascii="Times New Roman" w:hAnsi="Times New Roman" w:cs="Times New Roman"/>
          <w:sz w:val="24"/>
          <w:szCs w:val="24"/>
        </w:rPr>
        <w:t>.</w:t>
      </w:r>
      <w:r w:rsidR="0084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9C" w:rsidRPr="00F5769C" w:rsidRDefault="00F5769C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D7A" w:rsidRDefault="00221CE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конкурсной комиссии:</w:t>
      </w:r>
    </w:p>
    <w:p w:rsidR="00A16791" w:rsidRPr="00F5769C" w:rsidRDefault="00A16791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Лапаева Татьяна Валентиновна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Тульской области по 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предпринимательству и потребительскому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рынку, председатель комиссии</w:t>
      </w:r>
    </w:p>
    <w:p w:rsidR="00CA3311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>Иващенко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Тульского областного гарантийного фонда, </w:t>
      </w:r>
    </w:p>
    <w:p w:rsidR="00CA3311" w:rsidRPr="00F5769C" w:rsidRDefault="00CA3311" w:rsidP="00CA3311">
      <w:pPr>
        <w:spacing w:after="0" w:line="240" w:lineRule="exac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заместитель председателя комиссии;</w:t>
      </w:r>
    </w:p>
    <w:p w:rsidR="003E634C" w:rsidRDefault="00CA3311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Солтанова Екатерина Александровна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3E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малого</w:t>
      </w:r>
      <w:r w:rsidR="003E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</w:p>
    <w:p w:rsidR="003E634C" w:rsidRDefault="003E634C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A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Тульской области по </w:t>
      </w:r>
    </w:p>
    <w:p w:rsidR="00CA3311" w:rsidRDefault="003E634C" w:rsidP="00CA3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A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потребительскому рынку  </w:t>
      </w:r>
    </w:p>
    <w:p w:rsidR="00CA3311" w:rsidRDefault="00CA3311" w:rsidP="00CA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Тульского областного </w:t>
      </w:r>
    </w:p>
    <w:p w:rsidR="00CA3311" w:rsidRDefault="00CA3311" w:rsidP="00CA331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гарантийного фонда;</w:t>
      </w:r>
    </w:p>
    <w:p w:rsidR="00CA3311" w:rsidRDefault="00CA3311" w:rsidP="00CA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Вера Анатольевна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главный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предоставления гарантий </w:t>
      </w:r>
    </w:p>
    <w:p w:rsidR="00547E08" w:rsidRDefault="00CA3311" w:rsidP="00CA33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Тульского областного гарантийного фонда.</w:t>
      </w:r>
    </w:p>
    <w:p w:rsidR="00CA3311" w:rsidRDefault="00CA3311" w:rsidP="00CA33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11" w:rsidRDefault="00CA3311" w:rsidP="00CA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A16791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 w:rsidR="00547E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из </w:t>
      </w:r>
      <w:r w:rsidR="00EE76A9" w:rsidRPr="00F5769C">
        <w:rPr>
          <w:rFonts w:ascii="Times New Roman" w:hAnsi="Times New Roman" w:cs="Times New Roman"/>
          <w:sz w:val="24"/>
          <w:szCs w:val="24"/>
        </w:rPr>
        <w:t>6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возможных, что составляет 83% от общего числа его членов. Заседание комиссии считается правомочным</w:t>
      </w:r>
      <w:r w:rsidR="00023D7A" w:rsidRPr="00F5769C">
        <w:rPr>
          <w:rFonts w:ascii="Times New Roman" w:hAnsi="Times New Roman" w:cs="Times New Roman"/>
          <w:sz w:val="24"/>
          <w:szCs w:val="24"/>
        </w:rPr>
        <w:t>.</w:t>
      </w:r>
    </w:p>
    <w:p w:rsidR="000026EA" w:rsidRDefault="00840D31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приёма конкурсных предложений с 18.</w:t>
      </w:r>
      <w:r w:rsidR="003E634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.2014 по 1</w:t>
      </w:r>
      <w:r w:rsidR="003E63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34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.2014 поступило  </w:t>
      </w:r>
      <w:r w:rsidR="003E63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634C">
        <w:rPr>
          <w:rFonts w:ascii="Times New Roman" w:hAnsi="Times New Roman" w:cs="Times New Roman"/>
          <w:sz w:val="24"/>
          <w:szCs w:val="24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ть) заявок, которые были зарегистрированы  </w:t>
      </w:r>
      <w:r w:rsidRPr="00F5769C">
        <w:rPr>
          <w:rFonts w:ascii="Times New Roman" w:hAnsi="Times New Roman" w:cs="Times New Roman"/>
          <w:sz w:val="24"/>
          <w:szCs w:val="24"/>
        </w:rPr>
        <w:t>в Журнале регистрации конкурсных заявок.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40D31" w:rsidTr="00840D31">
        <w:tc>
          <w:tcPr>
            <w:tcW w:w="8013" w:type="dxa"/>
          </w:tcPr>
          <w:tbl>
            <w:tblPr>
              <w:tblStyle w:val="a3"/>
              <w:tblW w:w="8366" w:type="dxa"/>
              <w:tblInd w:w="988" w:type="dxa"/>
              <w:tblLook w:val="04A0" w:firstRow="1" w:lastRow="0" w:firstColumn="1" w:lastColumn="0" w:noHBand="0" w:noVBand="1"/>
            </w:tblPr>
            <w:tblGrid>
              <w:gridCol w:w="1560"/>
              <w:gridCol w:w="4535"/>
              <w:gridCol w:w="2271"/>
            </w:tblGrid>
            <w:tr w:rsidR="00C820AC" w:rsidTr="00C820AC">
              <w:tc>
                <w:tcPr>
                  <w:tcW w:w="1560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Номер заявки</w:t>
                  </w:r>
                </w:p>
              </w:tc>
              <w:tc>
                <w:tcPr>
                  <w:tcW w:w="4535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Наименование банка</w:t>
                  </w:r>
                </w:p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Дата подачи заявки</w:t>
                  </w:r>
                </w:p>
              </w:tc>
            </w:tr>
            <w:tr w:rsidR="003E634C" w:rsidTr="00C820AC">
              <w:tc>
                <w:tcPr>
                  <w:tcW w:w="1560" w:type="dxa"/>
                </w:tcPr>
                <w:p w:rsidR="003E634C" w:rsidRDefault="003E634C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</w:tcPr>
                <w:p w:rsidR="003E634C" w:rsidRPr="00CA3311" w:rsidRDefault="003E634C" w:rsidP="00D14786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 w:rsidRPr="00CA3311">
                    <w:rPr>
                      <w:rFonts w:cs="Times New Roman"/>
                      <w:sz w:val="20"/>
                      <w:szCs w:val="20"/>
                    </w:rPr>
                    <w:t>ПАО «Ханты-Мансийский банк Открытие»</w:t>
                  </w:r>
                </w:p>
              </w:tc>
              <w:tc>
                <w:tcPr>
                  <w:tcW w:w="2271" w:type="dxa"/>
                </w:tcPr>
                <w:p w:rsidR="003E634C" w:rsidRPr="00CC62FC" w:rsidRDefault="003E634C" w:rsidP="003E634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17.12.2014</w:t>
                  </w:r>
                </w:p>
              </w:tc>
            </w:tr>
            <w:tr w:rsidR="003E634C" w:rsidTr="00C820AC">
              <w:tc>
                <w:tcPr>
                  <w:tcW w:w="1560" w:type="dxa"/>
                </w:tcPr>
                <w:p w:rsidR="003E634C" w:rsidRDefault="003E634C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5" w:type="dxa"/>
                </w:tcPr>
                <w:p w:rsidR="003E634C" w:rsidRPr="00CA3311" w:rsidRDefault="003E634C" w:rsidP="00D14786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 w:rsidRPr="00CA3311">
                    <w:rPr>
                      <w:rFonts w:cs="Times New Roman"/>
                      <w:sz w:val="20"/>
                      <w:szCs w:val="20"/>
                    </w:rPr>
                    <w:t>ЗАО «Солид Банк»</w:t>
                  </w:r>
                </w:p>
              </w:tc>
              <w:tc>
                <w:tcPr>
                  <w:tcW w:w="2271" w:type="dxa"/>
                </w:tcPr>
                <w:p w:rsidR="003E634C" w:rsidRPr="00CC62FC" w:rsidRDefault="003E634C" w:rsidP="00D14786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17.12.2014</w:t>
                  </w:r>
                </w:p>
              </w:tc>
            </w:tr>
            <w:tr w:rsidR="003E634C" w:rsidTr="00C820AC">
              <w:tc>
                <w:tcPr>
                  <w:tcW w:w="1560" w:type="dxa"/>
                </w:tcPr>
                <w:p w:rsidR="003E634C" w:rsidRDefault="003E634C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5" w:type="dxa"/>
                </w:tcPr>
                <w:p w:rsidR="003E634C" w:rsidRPr="00CA3311" w:rsidRDefault="003E634C" w:rsidP="00D14786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 w:rsidRPr="00CA3311">
                    <w:rPr>
                      <w:rFonts w:cs="Times New Roman"/>
                      <w:sz w:val="20"/>
                      <w:szCs w:val="20"/>
                    </w:rPr>
                    <w:t>ООО «Внешпромбанк»</w:t>
                  </w:r>
                </w:p>
              </w:tc>
              <w:tc>
                <w:tcPr>
                  <w:tcW w:w="2271" w:type="dxa"/>
                </w:tcPr>
                <w:p w:rsidR="003E634C" w:rsidRPr="00CC62FC" w:rsidRDefault="003E634C" w:rsidP="00D14786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17.12.2014</w:t>
                  </w:r>
                </w:p>
              </w:tc>
            </w:tr>
            <w:tr w:rsidR="003E634C" w:rsidTr="00C820AC">
              <w:tc>
                <w:tcPr>
                  <w:tcW w:w="1560" w:type="dxa"/>
                </w:tcPr>
                <w:p w:rsidR="003E634C" w:rsidRDefault="003E634C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5" w:type="dxa"/>
                </w:tcPr>
                <w:p w:rsidR="003E634C" w:rsidRPr="00CA3311" w:rsidRDefault="003E634C" w:rsidP="00D14786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 w:rsidRPr="00CA3311">
                    <w:rPr>
                      <w:rFonts w:cs="Times New Roman"/>
                      <w:sz w:val="20"/>
                      <w:szCs w:val="20"/>
                    </w:rPr>
                    <w:t>ОАО «Газпромбанк»</w:t>
                  </w:r>
                </w:p>
              </w:tc>
              <w:tc>
                <w:tcPr>
                  <w:tcW w:w="2271" w:type="dxa"/>
                </w:tcPr>
                <w:p w:rsidR="003E634C" w:rsidRPr="00CC62FC" w:rsidRDefault="003E634C" w:rsidP="00D14786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17.12.2014</w:t>
                  </w:r>
                </w:p>
              </w:tc>
            </w:tr>
            <w:tr w:rsidR="003E634C" w:rsidTr="00C820AC">
              <w:tc>
                <w:tcPr>
                  <w:tcW w:w="1560" w:type="dxa"/>
                </w:tcPr>
                <w:p w:rsidR="003E634C" w:rsidRDefault="003E634C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5" w:type="dxa"/>
                </w:tcPr>
                <w:p w:rsidR="003E634C" w:rsidRPr="00CA3311" w:rsidRDefault="003E634C" w:rsidP="00D14786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 w:rsidRPr="00CA3311">
                    <w:rPr>
                      <w:rFonts w:cs="Times New Roman"/>
                      <w:sz w:val="20"/>
                      <w:szCs w:val="20"/>
                    </w:rPr>
                    <w:t>ПАО Банк «ФК Открытие»</w:t>
                  </w:r>
                </w:p>
              </w:tc>
              <w:tc>
                <w:tcPr>
                  <w:tcW w:w="2271" w:type="dxa"/>
                </w:tcPr>
                <w:p w:rsidR="003E634C" w:rsidRPr="00CC62FC" w:rsidRDefault="003E634C" w:rsidP="00D14786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17.12.2014</w:t>
                  </w:r>
                </w:p>
              </w:tc>
            </w:tr>
          </w:tbl>
          <w:p w:rsidR="00840D31" w:rsidRDefault="00840D31" w:rsidP="00840D3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2734A" w:rsidRDefault="0072734A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1A32">
        <w:rPr>
          <w:rFonts w:ascii="Times New Roman" w:hAnsi="Times New Roman" w:cs="Times New Roman"/>
          <w:sz w:val="24"/>
          <w:szCs w:val="24"/>
        </w:rPr>
        <w:t>онкурсная комиссия</w:t>
      </w:r>
      <w:r w:rsidR="00E532B4">
        <w:rPr>
          <w:rFonts w:ascii="Times New Roman" w:hAnsi="Times New Roman" w:cs="Times New Roman"/>
          <w:sz w:val="24"/>
          <w:szCs w:val="24"/>
        </w:rPr>
        <w:t xml:space="preserve">, убедившись в </w:t>
      </w:r>
      <w:r w:rsidR="00E532B4" w:rsidRPr="00F5769C">
        <w:rPr>
          <w:rFonts w:ascii="Times New Roman" w:hAnsi="Times New Roman" w:cs="Times New Roman"/>
          <w:sz w:val="24"/>
          <w:szCs w:val="24"/>
        </w:rPr>
        <w:t>целостност</w:t>
      </w:r>
      <w:r w:rsidR="00BE0C34">
        <w:rPr>
          <w:rFonts w:ascii="Times New Roman" w:hAnsi="Times New Roman" w:cs="Times New Roman"/>
          <w:sz w:val="24"/>
          <w:szCs w:val="24"/>
        </w:rPr>
        <w:t>и</w:t>
      </w:r>
      <w:r w:rsidR="00E532B4" w:rsidRPr="00F5769C">
        <w:rPr>
          <w:rFonts w:ascii="Times New Roman" w:hAnsi="Times New Roman" w:cs="Times New Roman"/>
          <w:sz w:val="24"/>
          <w:szCs w:val="24"/>
        </w:rPr>
        <w:t xml:space="preserve"> и сохранност</w:t>
      </w:r>
      <w:r w:rsidR="00BE0C34">
        <w:rPr>
          <w:rFonts w:ascii="Times New Roman" w:hAnsi="Times New Roman" w:cs="Times New Roman"/>
          <w:sz w:val="24"/>
          <w:szCs w:val="24"/>
        </w:rPr>
        <w:t>и</w:t>
      </w:r>
      <w:r w:rsidR="00E532B4" w:rsidRPr="00F5769C">
        <w:rPr>
          <w:rFonts w:ascii="Times New Roman" w:hAnsi="Times New Roman" w:cs="Times New Roman"/>
          <w:sz w:val="24"/>
          <w:szCs w:val="24"/>
        </w:rPr>
        <w:t xml:space="preserve"> предоставленных конвертов</w:t>
      </w:r>
      <w:r w:rsidR="009C0B7E">
        <w:rPr>
          <w:rFonts w:ascii="Times New Roman" w:hAnsi="Times New Roman" w:cs="Times New Roman"/>
          <w:sz w:val="24"/>
          <w:szCs w:val="24"/>
        </w:rPr>
        <w:t xml:space="preserve">, преступила к </w:t>
      </w:r>
      <w:r w:rsidR="00A16791">
        <w:rPr>
          <w:rFonts w:ascii="Times New Roman" w:hAnsi="Times New Roman" w:cs="Times New Roman"/>
          <w:sz w:val="24"/>
          <w:szCs w:val="24"/>
        </w:rPr>
        <w:t>вскрытию конвертов</w:t>
      </w:r>
      <w:r w:rsidR="00BE0C34">
        <w:rPr>
          <w:rFonts w:ascii="Times New Roman" w:hAnsi="Times New Roman" w:cs="Times New Roman"/>
          <w:sz w:val="24"/>
          <w:szCs w:val="24"/>
        </w:rPr>
        <w:t>.</w:t>
      </w:r>
    </w:p>
    <w:p w:rsidR="0072734A" w:rsidRDefault="0072734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C34" w:rsidRDefault="00522A49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п. 4.1. Положения о проведении конкурса среди банков на получение права размещения на депозите денежных средств Тульского </w:t>
      </w:r>
      <w:r w:rsidR="00A40419">
        <w:rPr>
          <w:rFonts w:ascii="Times New Roman" w:hAnsi="Times New Roman" w:cs="Times New Roman"/>
          <w:sz w:val="24"/>
          <w:szCs w:val="24"/>
        </w:rPr>
        <w:t>областного гарантийного фонда:</w:t>
      </w:r>
    </w:p>
    <w:p w:rsidR="00B31A32" w:rsidRDefault="00B31A32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49" w:rsidRDefault="00522A4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276"/>
        <w:gridCol w:w="1275"/>
        <w:gridCol w:w="1276"/>
      </w:tblGrid>
      <w:tr w:rsidR="003E634C" w:rsidRPr="003E634C" w:rsidTr="003E634C">
        <w:trPr>
          <w:trHeight w:val="926"/>
        </w:trPr>
        <w:tc>
          <w:tcPr>
            <w:tcW w:w="2835" w:type="dxa"/>
            <w:tcBorders>
              <w:tl2br w:val="single" w:sz="4" w:space="0" w:color="auto"/>
            </w:tcBorders>
          </w:tcPr>
          <w:p w:rsidR="003E634C" w:rsidRPr="003E634C" w:rsidRDefault="003E634C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lastRenderedPageBreak/>
              <w:t xml:space="preserve">                  наименование Банка</w:t>
            </w:r>
          </w:p>
          <w:p w:rsidR="003E634C" w:rsidRPr="003E634C" w:rsidRDefault="003E634C" w:rsidP="00FC6352">
            <w:pPr>
              <w:pStyle w:val="a5"/>
              <w:rPr>
                <w:rFonts w:cs="Times New Roman"/>
                <w:sz w:val="16"/>
                <w:szCs w:val="16"/>
              </w:rPr>
            </w:pPr>
          </w:p>
          <w:p w:rsidR="003E634C" w:rsidRPr="003E634C" w:rsidRDefault="003E634C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конкурсное</w:t>
            </w:r>
          </w:p>
          <w:p w:rsidR="003E634C" w:rsidRPr="003E634C" w:rsidRDefault="003E634C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предложение содержит:</w:t>
            </w:r>
          </w:p>
        </w:tc>
        <w:tc>
          <w:tcPr>
            <w:tcW w:w="1559" w:type="dxa"/>
          </w:tcPr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ПАО «Ханты-Мансийский банк Открытие»</w:t>
            </w:r>
          </w:p>
        </w:tc>
        <w:tc>
          <w:tcPr>
            <w:tcW w:w="1418" w:type="dxa"/>
          </w:tcPr>
          <w:p w:rsidR="003E634C" w:rsidRPr="003E634C" w:rsidRDefault="003E634C" w:rsidP="003E634C">
            <w:pPr>
              <w:pStyle w:val="a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ЗАО «Солид Банк»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34C" w:rsidRPr="003E634C" w:rsidRDefault="003E634C" w:rsidP="003E634C">
            <w:pPr>
              <w:pStyle w:val="a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ООО «Внешпромбанк»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E634C" w:rsidRPr="003E634C" w:rsidRDefault="003E634C" w:rsidP="003E634C">
            <w:pPr>
              <w:pStyle w:val="a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ОАО «Газпромбанк»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34C" w:rsidRPr="003E634C" w:rsidRDefault="003E634C" w:rsidP="003E634C">
            <w:pPr>
              <w:pStyle w:val="a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ПАО Банк «ФК Открытие»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3E634C" w:rsidRPr="003E634C" w:rsidTr="003E634C">
        <w:tc>
          <w:tcPr>
            <w:tcW w:w="2835" w:type="dxa"/>
          </w:tcPr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Заявление об участии в конкурсе, составленное по форме, указанной в приложении №2 к настоящему Положению 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3E634C" w:rsidRPr="003E634C" w:rsidTr="003E634C">
        <w:trPr>
          <w:trHeight w:val="50"/>
        </w:trPr>
        <w:tc>
          <w:tcPr>
            <w:tcW w:w="2835" w:type="dxa"/>
          </w:tcPr>
          <w:p w:rsidR="003E634C" w:rsidRPr="003E634C" w:rsidRDefault="003E634C" w:rsidP="00236015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Коммерческое предложение участника  конкурса составленное по форме, указанной в приложении №3 к настоящему Положению 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3E634C" w:rsidRPr="003E634C" w:rsidTr="003E634C">
        <w:tc>
          <w:tcPr>
            <w:tcW w:w="2835" w:type="dxa"/>
          </w:tcPr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Копия устава участника конкурса со всеми изменениями и дополнениями, вступившими в силу на дату подачи конкурсного предложения 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3E634C" w:rsidRPr="003E634C" w:rsidTr="003E634C">
        <w:tc>
          <w:tcPr>
            <w:tcW w:w="2835" w:type="dxa"/>
          </w:tcPr>
          <w:p w:rsidR="003E634C" w:rsidRPr="003E634C" w:rsidRDefault="003E634C" w:rsidP="00236015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Документ, подтверждающий полномочия представителя Банка (доверенность либо выписка из ЕГРЮЛ)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3E634C" w:rsidRPr="003E634C" w:rsidTr="003E634C">
        <w:tc>
          <w:tcPr>
            <w:tcW w:w="2835" w:type="dxa"/>
          </w:tcPr>
          <w:p w:rsidR="003E634C" w:rsidRPr="003E634C" w:rsidRDefault="003E634C" w:rsidP="00236015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Копия аудиторского заключения по итогам работы за предыдущий год, а также отчетности, составленной в соответствии с МСФО за последний отчетный год по Банку или по банковской группе. 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3E634C" w:rsidRPr="003E634C" w:rsidTr="003E634C">
        <w:tc>
          <w:tcPr>
            <w:tcW w:w="2835" w:type="dxa"/>
          </w:tcPr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Документы, подтверждающие соответствие участника конкурса п.3.1. Положения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E613D6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</w:p>
        </w:tc>
      </w:tr>
      <w:tr w:rsidR="003E634C" w:rsidRPr="003E634C" w:rsidTr="003E634C">
        <w:tc>
          <w:tcPr>
            <w:tcW w:w="2835" w:type="dxa"/>
          </w:tcPr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Сводная таблица показателей согласно приложение № 4 к Положению</w:t>
            </w:r>
          </w:p>
          <w:p w:rsidR="003E634C" w:rsidRPr="003E634C" w:rsidRDefault="003E634C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3E634C" w:rsidRPr="003E634C" w:rsidRDefault="003E634C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</w:tbl>
    <w:p w:rsidR="00522A49" w:rsidRDefault="00522A4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п. 3.1. Положения о проведении конкурса среди банков на получение права размещения на депозите денежных средств Тульского областного гарантийного фонда:</w:t>
      </w:r>
    </w:p>
    <w:p w:rsidR="00A40419" w:rsidRPr="00F5769C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40419" w:rsidRPr="00F5769C" w:rsidSect="00FC6352">
          <w:pgSz w:w="11906" w:h="16838"/>
          <w:pgMar w:top="567" w:right="849" w:bottom="1276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2126"/>
        <w:gridCol w:w="1843"/>
        <w:gridCol w:w="1842"/>
        <w:gridCol w:w="1843"/>
        <w:gridCol w:w="1701"/>
      </w:tblGrid>
      <w:tr w:rsidR="003E634C" w:rsidTr="003E634C">
        <w:tc>
          <w:tcPr>
            <w:tcW w:w="5670" w:type="dxa"/>
          </w:tcPr>
          <w:p w:rsidR="003E634C" w:rsidRDefault="003E634C" w:rsidP="00F5769C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634C" w:rsidRPr="003E634C" w:rsidRDefault="003E634C" w:rsidP="00D14786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ПАО «Ханты-Мансийский банк Открытие»</w:t>
            </w:r>
          </w:p>
        </w:tc>
        <w:tc>
          <w:tcPr>
            <w:tcW w:w="1843" w:type="dxa"/>
          </w:tcPr>
          <w:p w:rsidR="003E634C" w:rsidRPr="003E634C" w:rsidRDefault="003E634C" w:rsidP="00D14786">
            <w:pPr>
              <w:pStyle w:val="a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ЗАО «Солид Банк»</w:t>
            </w:r>
          </w:p>
          <w:p w:rsidR="003E634C" w:rsidRPr="003E634C" w:rsidRDefault="003E634C" w:rsidP="00D14786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E634C" w:rsidRPr="003E634C" w:rsidRDefault="003E634C" w:rsidP="00D14786">
            <w:pPr>
              <w:pStyle w:val="a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ООО «Внешпромбанк»</w:t>
            </w:r>
          </w:p>
          <w:p w:rsidR="003E634C" w:rsidRPr="003E634C" w:rsidRDefault="003E634C" w:rsidP="00D14786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34C" w:rsidRPr="003E634C" w:rsidRDefault="003E634C" w:rsidP="00D14786">
            <w:pPr>
              <w:pStyle w:val="a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ОАО «Газпромбанк»</w:t>
            </w:r>
          </w:p>
          <w:p w:rsidR="003E634C" w:rsidRPr="003E634C" w:rsidRDefault="003E634C" w:rsidP="00D14786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E634C" w:rsidRPr="003E634C" w:rsidRDefault="003E634C" w:rsidP="00D14786">
            <w:pPr>
              <w:pStyle w:val="a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ПАО Банк «ФК Открытие»</w:t>
            </w:r>
          </w:p>
          <w:p w:rsidR="003E634C" w:rsidRPr="003E634C" w:rsidRDefault="003E634C" w:rsidP="00D14786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090D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1519F4">
              <w:rPr>
                <w:rFonts w:cs="Times New Roman"/>
                <w:sz w:val="16"/>
                <w:szCs w:val="16"/>
                <w:lang w:eastAsia="ru-RU"/>
              </w:rPr>
              <w:t>наличие положительного аудиторского заключения по итогам работы за предыдущий год, а также отчетности, составленной в соответствии с Международными стандартами финансовой отчетности, за последний отчетный год по банку или банковской группе (при вхождении банка в банковскую группу)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1519F4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1519F4">
              <w:rPr>
                <w:rFonts w:cs="Times New Roman"/>
                <w:sz w:val="16"/>
                <w:szCs w:val="16"/>
                <w:lang w:eastAsia="ru-RU"/>
              </w:rPr>
              <w:t>отсутствие факта применения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 на дату подачи заявки на участие в конкурсе. К данному требованию не относится отзыв (приостановление) лицензии профессионального участника рынка ценных бумаг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381C83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Pr="009C44F8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090D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1519F4">
              <w:rPr>
                <w:rFonts w:cs="Times New Roman"/>
                <w:sz w:val="16"/>
                <w:szCs w:val="16"/>
                <w:lang w:eastAsia="ru-RU"/>
              </w:rPr>
              <w:t>величина собственных средств (капитала) банка, определённая в соответствии с нормативной базой Банка России, не ниже 180 млн. рублей</w:t>
            </w:r>
            <w:r w:rsidRPr="00090D5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  <w:p w:rsidR="003E634C" w:rsidRPr="00381C83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Default="003E634C" w:rsidP="001519F4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1519F4">
              <w:rPr>
                <w:rFonts w:cs="Times New Roman"/>
                <w:sz w:val="16"/>
                <w:szCs w:val="16"/>
                <w:lang w:eastAsia="ru-RU"/>
              </w:rPr>
              <w:t>величина активов, взвешенных по уровню риска, не меньше 1,75 млрд. рублей, определяется в соответствии с Инструкцией Банка России от 03.12.2012 № 139-И "Об обязательных нормативах банков" (зарегистрировано в Минюсте России 13.12.2012, регистрационный номер № 26104) (Вестник Банка России, 2012, № 74) (соответствует коду «AR_0» в форме отчетности 0409135) (в редакции Указания Банка России от 25.10.2013 № 3097-У)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3E634C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показатель достаточности капитала (норматив H1.0) не ниже 10,2% (при норме 10%) или не ниже 11.2% (при норме 11%)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  <w:p w:rsidR="003E634C" w:rsidRPr="009C44F8" w:rsidRDefault="003E634C" w:rsidP="00035461">
            <w:pPr>
              <w:pStyle w:val="a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F5769C">
            <w:pPr>
              <w:pStyle w:val="a5"/>
              <w:rPr>
                <w:rFonts w:cs="Times New Roman"/>
                <w:sz w:val="16"/>
                <w:szCs w:val="16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отсутствие непроведенных платежей клиентов по причине недостаточности средств на корреспондентских счетах банка, в соответствии с формой отчётности 0409101 (счета 2-го порядка 47418, 90903, 90904)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отсутствие факта просроченной задолженности по ранее размещённым денежным средствам Фонда на счетах банка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675C40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наличие у банка действующего на дату подачи конкурсного предложения рейтинга долгосрочной кредитоспособности по обязательствам в валюте Российской Федерации или в иностранной валюте, присвоенный одним из международных рейтинговых агентств либо национальных рейтинговых агентств, аккредитованных в порядке, установленном законодательством Российской Федерации, на уровне не ниже следующих минимальных значений:</w:t>
            </w:r>
          </w:p>
          <w:p w:rsidR="003E634C" w:rsidRPr="00221CEA" w:rsidRDefault="003E634C" w:rsidP="00675C40">
            <w:pPr>
              <w:pStyle w:val="a5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221CEA">
              <w:rPr>
                <w:rFonts w:cs="Times New Roman"/>
                <w:sz w:val="16"/>
                <w:szCs w:val="16"/>
                <w:lang w:val="en-US" w:eastAsia="ru-RU"/>
              </w:rPr>
              <w:t>Fitch Ratings – «B+»;</w:t>
            </w:r>
          </w:p>
          <w:p w:rsidR="003E634C" w:rsidRPr="00221CEA" w:rsidRDefault="003E634C" w:rsidP="00675C40">
            <w:pPr>
              <w:pStyle w:val="a5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221CEA">
              <w:rPr>
                <w:rFonts w:cs="Times New Roman"/>
                <w:sz w:val="16"/>
                <w:szCs w:val="16"/>
                <w:lang w:val="en-US" w:eastAsia="ru-RU"/>
              </w:rPr>
              <w:t>Standard &amp; Poor's – «B+»;</w:t>
            </w:r>
          </w:p>
          <w:p w:rsidR="003E634C" w:rsidRPr="00090D52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Moody's Investors Service – «B1»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3E634C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величина уставного капитала банка составляет не менее 1 млрд. рублей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просроченная задолженность по кредитному портфелю банка не превышает 12%. Указанная задолженность определяется в соответствии с разделом 4 Плана счетов «Кредиты предоставленные, прочие размещённые средства» Положением Банка России от 16 июля 2012 г. № 385-П (ред. от 05.12.2013) «О правилах ведения бухгалтерского учёта в кредитных организациях, расположенных на территории Российской Федерации»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675C40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согласие банка на раскрытие информации Банком России для Минэкономразвития России по следующим показателям:</w:t>
            </w:r>
          </w:p>
          <w:p w:rsidR="003E634C" w:rsidRPr="00675C40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ab/>
              <w:t>а)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ab/>
              <w:t>соблюдение (выполнение) обязательных экономических нормативов (на все отчетные даты в течение последних 6 (шести) месяцев;</w:t>
            </w:r>
          </w:p>
          <w:p w:rsidR="003E634C" w:rsidRPr="00675C40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ab/>
              <w:t>б)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ab/>
              <w:t xml:space="preserve">неприменение требований Банка России об осуществлении мер по финансовому оздоровлению банка на основе Федерального закона 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lastRenderedPageBreak/>
              <w:t>от 25 февраля 1999 г. № 40-ФЗ «О несостоятельности (банкротстве) кредитных организаций» (Собрание законодательства Российской Федерации, 1999, № 9, ст. 1097; 2000, № 2, ст. 127, 2001, №26 ст.2590;2001, № 33, ст.3419;2002, № 12, ст.1093;2003; № 50, ст.4855; 2084, № 31, ст.3220, № 34, ст.3536;2006, №52, ст.5497; 2007, №1, ст.10; № 49, ст.6064; 2008, №30, ст.3616; № 52, ст.6225; 2009, № 1, ст.4, 14; № 18, ст. 2153; № 29, ст.3632; 2011, № 7, ст.905; № 27, ст. 3873; № 48, ст.6728; №50, ст.7351; 2012, № 31, ст.4333; 2013, № 27, ст.3438; 2014, № 19, ст.2317);</w:t>
            </w:r>
          </w:p>
          <w:p w:rsidR="003E634C" w:rsidRPr="00675C40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ab/>
              <w:t>в)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ab/>
              <w:t>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России, и процентов по ним;</w:t>
            </w:r>
          </w:p>
          <w:p w:rsidR="003E634C" w:rsidRPr="00090D52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ab/>
              <w:t>г)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ab/>
              <w:t>положительные финансовые результаты деятельности кредитной организации (отсутствие убытков) за прошедший отчетный год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:rsidR="003E634C" w:rsidRPr="00035461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3E634C" w:rsidTr="003E634C">
        <w:tc>
          <w:tcPr>
            <w:tcW w:w="5670" w:type="dxa"/>
          </w:tcPr>
          <w:p w:rsidR="003E634C" w:rsidRPr="00090D52" w:rsidRDefault="003E634C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lastRenderedPageBreak/>
              <w:t>наличие у банка заключённого соглашения о сотрудничестве с Фондом</w:t>
            </w:r>
          </w:p>
        </w:tc>
        <w:tc>
          <w:tcPr>
            <w:tcW w:w="2126" w:type="dxa"/>
          </w:tcPr>
          <w:p w:rsidR="003E634C" w:rsidRPr="006F7BAB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86467A" w:rsidRDefault="003E634C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3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E634C" w:rsidRPr="00035461" w:rsidRDefault="003E634C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023D7A" w:rsidRPr="00FC6352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  <w:sectPr w:rsidR="00023D7A" w:rsidRPr="00FC6352" w:rsidSect="00EB0DB4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522A49" w:rsidRDefault="00522A49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 конкурсной комиссией: по результатам вскрытия конвертов с конкурсными </w:t>
      </w:r>
      <w:r w:rsidR="00EB0DB4">
        <w:rPr>
          <w:rFonts w:ascii="Times New Roman" w:hAnsi="Times New Roman" w:cs="Times New Roman"/>
          <w:sz w:val="24"/>
          <w:szCs w:val="24"/>
        </w:rPr>
        <w:t xml:space="preserve">предложениями участников конкурса </w:t>
      </w:r>
      <w:r w:rsidRPr="00F5769C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EB0DB4">
        <w:rPr>
          <w:rFonts w:ascii="Times New Roman" w:hAnsi="Times New Roman" w:cs="Times New Roman"/>
          <w:sz w:val="24"/>
          <w:szCs w:val="24"/>
        </w:rPr>
        <w:t>соответствия представленных документов</w:t>
      </w:r>
      <w:r w:rsidR="0072734A">
        <w:rPr>
          <w:rFonts w:ascii="Times New Roman" w:hAnsi="Times New Roman" w:cs="Times New Roman"/>
          <w:sz w:val="24"/>
          <w:szCs w:val="24"/>
        </w:rPr>
        <w:t xml:space="preserve"> требованиям п. 3.1 и п. 4.1</w:t>
      </w:r>
      <w:r w:rsidR="00EB0DB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 w:rsidR="00EB0DB4">
        <w:rPr>
          <w:rFonts w:ascii="Times New Roman" w:hAnsi="Times New Roman" w:cs="Times New Roman"/>
          <w:sz w:val="24"/>
          <w:szCs w:val="24"/>
        </w:rPr>
        <w:t xml:space="preserve"> </w:t>
      </w:r>
      <w:r w:rsidR="007F7BF8">
        <w:rPr>
          <w:rFonts w:ascii="Times New Roman" w:hAnsi="Times New Roman" w:cs="Times New Roman"/>
          <w:sz w:val="24"/>
          <w:szCs w:val="24"/>
        </w:rPr>
        <w:t>принять решение о допуске к дальнейшему участию в конкурсе следующих участников:</w:t>
      </w:r>
      <w:r w:rsidR="007273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E634C" w:rsidTr="00C820AC">
        <w:tc>
          <w:tcPr>
            <w:tcW w:w="9039" w:type="dxa"/>
          </w:tcPr>
          <w:p w:rsidR="003E634C" w:rsidRPr="00CA3311" w:rsidRDefault="003E634C" w:rsidP="003E634C">
            <w:pPr>
              <w:pStyle w:val="a5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ПАО «Ханты-Мансийский банк Открытие»</w:t>
            </w:r>
          </w:p>
        </w:tc>
      </w:tr>
      <w:tr w:rsidR="003E634C" w:rsidTr="00C820AC">
        <w:tc>
          <w:tcPr>
            <w:tcW w:w="9039" w:type="dxa"/>
          </w:tcPr>
          <w:p w:rsidR="003E634C" w:rsidRPr="00CA3311" w:rsidRDefault="003E634C" w:rsidP="003E634C">
            <w:pPr>
              <w:pStyle w:val="a5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ООО «Внешпромбанк»</w:t>
            </w:r>
          </w:p>
        </w:tc>
      </w:tr>
      <w:tr w:rsidR="003E634C" w:rsidTr="00C820AC">
        <w:tc>
          <w:tcPr>
            <w:tcW w:w="9039" w:type="dxa"/>
          </w:tcPr>
          <w:p w:rsidR="003E634C" w:rsidRPr="00CA3311" w:rsidRDefault="003E634C" w:rsidP="003E634C">
            <w:pPr>
              <w:pStyle w:val="a5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ОАО «Газпромбанк»</w:t>
            </w:r>
          </w:p>
        </w:tc>
      </w:tr>
      <w:tr w:rsidR="003E634C" w:rsidTr="00C820AC">
        <w:trPr>
          <w:trHeight w:val="309"/>
        </w:trPr>
        <w:tc>
          <w:tcPr>
            <w:tcW w:w="9039" w:type="dxa"/>
          </w:tcPr>
          <w:p w:rsidR="003E634C" w:rsidRPr="00CA3311" w:rsidRDefault="003E634C" w:rsidP="003E634C">
            <w:pPr>
              <w:pStyle w:val="a5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ПАО Банк «ФК Открытие»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BF8" w:rsidRPr="00E83317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дальнейшему участию в конкурсе следующим участникам:</w:t>
      </w:r>
    </w:p>
    <w:p w:rsidR="001842A3" w:rsidRPr="00E83317" w:rsidRDefault="001842A3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842A3" w:rsidTr="00E83317">
        <w:tc>
          <w:tcPr>
            <w:tcW w:w="4962" w:type="dxa"/>
          </w:tcPr>
          <w:p w:rsidR="001842A3" w:rsidRDefault="001842A3" w:rsidP="003E634C">
            <w:pPr>
              <w:pStyle w:val="a5"/>
              <w:rPr>
                <w:rFonts w:cs="Times New Roman"/>
                <w:sz w:val="24"/>
                <w:szCs w:val="24"/>
              </w:rPr>
            </w:pPr>
            <w:r w:rsidRPr="00EC243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EC2439">
              <w:rPr>
                <w:rFonts w:cs="Times New Roman"/>
                <w:sz w:val="24"/>
                <w:szCs w:val="24"/>
              </w:rPr>
              <w:t>ЗАО «</w:t>
            </w:r>
            <w:r w:rsidR="003E634C">
              <w:rPr>
                <w:rFonts w:cs="Times New Roman"/>
                <w:sz w:val="24"/>
                <w:szCs w:val="24"/>
              </w:rPr>
              <w:t>Солид Банк</w:t>
            </w:r>
            <w:r w:rsidR="00EC2439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Голосовали: решение принято единогласно</w:t>
      </w:r>
      <w:r w:rsidR="00770F1F">
        <w:rPr>
          <w:rFonts w:ascii="Times New Roman" w:hAnsi="Times New Roman" w:cs="Times New Roman"/>
          <w:sz w:val="24"/>
          <w:szCs w:val="24"/>
        </w:rPr>
        <w:t xml:space="preserve"> «за»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в результате открытого голосования членов конкурсной комиссии. Особых мнений у членов Комиссии не было.</w:t>
      </w:r>
    </w:p>
    <w:p w:rsidR="007F7BF8" w:rsidRDefault="007F7BF8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829" w:rsidRDefault="00023D7A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F7BF8" w:rsidRDefault="007F7BF8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дальнейшему участию в конкурсе следующих участников: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E634C" w:rsidTr="00C820AC">
        <w:tc>
          <w:tcPr>
            <w:tcW w:w="9180" w:type="dxa"/>
          </w:tcPr>
          <w:p w:rsidR="003E634C" w:rsidRPr="00CA3311" w:rsidRDefault="003E634C" w:rsidP="003E634C">
            <w:pPr>
              <w:pStyle w:val="a5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ПАО «Ханты-Мансийский банк Открытие»</w:t>
            </w:r>
          </w:p>
        </w:tc>
      </w:tr>
      <w:tr w:rsidR="003E634C" w:rsidTr="00C820AC">
        <w:tc>
          <w:tcPr>
            <w:tcW w:w="9180" w:type="dxa"/>
          </w:tcPr>
          <w:p w:rsidR="003E634C" w:rsidRPr="00CA3311" w:rsidRDefault="003E634C" w:rsidP="003E634C">
            <w:pPr>
              <w:pStyle w:val="a5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ООО «Внешпромбанк»</w:t>
            </w:r>
          </w:p>
        </w:tc>
      </w:tr>
      <w:tr w:rsidR="003E634C" w:rsidTr="00C820AC">
        <w:tc>
          <w:tcPr>
            <w:tcW w:w="9180" w:type="dxa"/>
          </w:tcPr>
          <w:p w:rsidR="003E634C" w:rsidRPr="00CA3311" w:rsidRDefault="003E634C" w:rsidP="003E634C">
            <w:pPr>
              <w:pStyle w:val="a5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ОАО «Газпромбанк»</w:t>
            </w:r>
          </w:p>
        </w:tc>
      </w:tr>
      <w:tr w:rsidR="003E634C" w:rsidTr="00C820AC">
        <w:tc>
          <w:tcPr>
            <w:tcW w:w="9180" w:type="dxa"/>
          </w:tcPr>
          <w:p w:rsidR="003E634C" w:rsidRPr="00CA3311" w:rsidRDefault="003E634C" w:rsidP="003E634C">
            <w:pPr>
              <w:pStyle w:val="a5"/>
              <w:numPr>
                <w:ilvl w:val="0"/>
                <w:numId w:val="22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ПАО Банк «ФК Открытие»</w:t>
            </w:r>
          </w:p>
        </w:tc>
      </w:tr>
    </w:tbl>
    <w:p w:rsidR="00EC2439" w:rsidRDefault="00EC2439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дальнейшему участию в конкурсе следующим участникам:</w:t>
      </w:r>
    </w:p>
    <w:p w:rsidR="001842A3" w:rsidRPr="00E83317" w:rsidRDefault="001842A3" w:rsidP="001842A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E634C" w:rsidTr="00B7424A">
        <w:tc>
          <w:tcPr>
            <w:tcW w:w="4962" w:type="dxa"/>
          </w:tcPr>
          <w:p w:rsidR="003E634C" w:rsidRDefault="003E634C" w:rsidP="00D14786">
            <w:pPr>
              <w:pStyle w:val="a5"/>
              <w:rPr>
                <w:rFonts w:cs="Times New Roman"/>
                <w:sz w:val="24"/>
                <w:szCs w:val="24"/>
              </w:rPr>
            </w:pPr>
            <w:r w:rsidRPr="00EC243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 ЗАО «Солид Банк»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6"/>
        <w:gridCol w:w="3729"/>
      </w:tblGrid>
      <w:tr w:rsidR="00DE1A18" w:rsidTr="003E634C">
        <w:tc>
          <w:tcPr>
            <w:tcW w:w="3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DE1A18" w:rsidRDefault="003E634C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Т.В. Лапаева</w:t>
            </w:r>
          </w:p>
        </w:tc>
      </w:tr>
      <w:tr w:rsidR="00DE1A18" w:rsidTr="003E634C"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:rsidR="00DE1A18" w:rsidRDefault="003E634C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А.Ю. Иващенко</w:t>
            </w:r>
          </w:p>
        </w:tc>
      </w:tr>
      <w:tr w:rsidR="00DE1A18" w:rsidTr="003E634C">
        <w:trPr>
          <w:trHeight w:val="457"/>
        </w:trPr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DE1A18" w:rsidRDefault="003E634C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Е.А. Солтанова</w:t>
            </w:r>
          </w:p>
        </w:tc>
      </w:tr>
      <w:tr w:rsidR="00DE1A18" w:rsidTr="003E634C"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:rsidR="00DE1A18" w:rsidRDefault="003E634C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Л.В.Юсова</w:t>
            </w:r>
          </w:p>
        </w:tc>
      </w:tr>
      <w:tr w:rsidR="00DE1A18" w:rsidTr="003E634C"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DE1A18" w:rsidRDefault="00DE6A16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В.А. Кравченко</w:t>
            </w:r>
          </w:p>
        </w:tc>
      </w:tr>
      <w:tr w:rsidR="00DE1A18" w:rsidTr="003E634C">
        <w:tc>
          <w:tcPr>
            <w:tcW w:w="3173" w:type="pct"/>
            <w:tcBorders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207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A18" w:rsidSect="00CF1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C5" w:rsidRDefault="00E863C5" w:rsidP="00FC6352">
      <w:pPr>
        <w:spacing w:after="0" w:line="240" w:lineRule="auto"/>
      </w:pPr>
      <w:r>
        <w:separator/>
      </w:r>
    </w:p>
  </w:endnote>
  <w:endnote w:type="continuationSeparator" w:id="0">
    <w:p w:rsidR="00E863C5" w:rsidRDefault="00E863C5" w:rsidP="00F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C5" w:rsidRDefault="00E863C5" w:rsidP="00FC6352">
      <w:pPr>
        <w:spacing w:after="0" w:line="240" w:lineRule="auto"/>
      </w:pPr>
      <w:r>
        <w:separator/>
      </w:r>
    </w:p>
  </w:footnote>
  <w:footnote w:type="continuationSeparator" w:id="0">
    <w:p w:rsidR="00E863C5" w:rsidRDefault="00E863C5" w:rsidP="00FC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03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F510ED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E5465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D486604"/>
    <w:multiLevelType w:val="hybridMultilevel"/>
    <w:tmpl w:val="EB2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107CA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A21B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DD6390"/>
    <w:multiLevelType w:val="hybridMultilevel"/>
    <w:tmpl w:val="AD32C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4E5405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34059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1835CC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DE52FEA"/>
    <w:multiLevelType w:val="hybridMultilevel"/>
    <w:tmpl w:val="641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1DE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65553C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A4651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86286A"/>
    <w:multiLevelType w:val="hybridMultilevel"/>
    <w:tmpl w:val="AB00C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95DAB"/>
    <w:multiLevelType w:val="hybridMultilevel"/>
    <w:tmpl w:val="03A6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B4A3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8649E8"/>
    <w:multiLevelType w:val="hybridMultilevel"/>
    <w:tmpl w:val="FB6A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A409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B02698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104688"/>
    <w:multiLevelType w:val="hybridMultilevel"/>
    <w:tmpl w:val="3246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60811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  <w:num w:numId="16">
    <w:abstractNumId w:val="6"/>
  </w:num>
  <w:num w:numId="17">
    <w:abstractNumId w:val="21"/>
  </w:num>
  <w:num w:numId="18">
    <w:abstractNumId w:val="0"/>
  </w:num>
  <w:num w:numId="19">
    <w:abstractNumId w:val="8"/>
  </w:num>
  <w:num w:numId="20">
    <w:abstractNumId w:val="1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onsecutiveHyphenLimit w:val="1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92"/>
    <w:rsid w:val="000026EA"/>
    <w:rsid w:val="0000362D"/>
    <w:rsid w:val="00012705"/>
    <w:rsid w:val="000134FF"/>
    <w:rsid w:val="00016490"/>
    <w:rsid w:val="00017065"/>
    <w:rsid w:val="00023D7A"/>
    <w:rsid w:val="00034CF8"/>
    <w:rsid w:val="00035461"/>
    <w:rsid w:val="00062DB3"/>
    <w:rsid w:val="00070E84"/>
    <w:rsid w:val="00090D52"/>
    <w:rsid w:val="00097F5C"/>
    <w:rsid w:val="000B4D16"/>
    <w:rsid w:val="000B6079"/>
    <w:rsid w:val="000C1D8B"/>
    <w:rsid w:val="000E1E19"/>
    <w:rsid w:val="000E2A3C"/>
    <w:rsid w:val="000F6244"/>
    <w:rsid w:val="0010119D"/>
    <w:rsid w:val="00110885"/>
    <w:rsid w:val="00121CFA"/>
    <w:rsid w:val="001272EA"/>
    <w:rsid w:val="001417ED"/>
    <w:rsid w:val="001519F4"/>
    <w:rsid w:val="00156B4B"/>
    <w:rsid w:val="00165D42"/>
    <w:rsid w:val="00174286"/>
    <w:rsid w:val="001817A5"/>
    <w:rsid w:val="001842A3"/>
    <w:rsid w:val="001920F7"/>
    <w:rsid w:val="001921C6"/>
    <w:rsid w:val="001B632F"/>
    <w:rsid w:val="001C08AB"/>
    <w:rsid w:val="001C2834"/>
    <w:rsid w:val="001C2BBC"/>
    <w:rsid w:val="001D687B"/>
    <w:rsid w:val="001E3292"/>
    <w:rsid w:val="001E53E7"/>
    <w:rsid w:val="001F6FD6"/>
    <w:rsid w:val="002071C0"/>
    <w:rsid w:val="0021075B"/>
    <w:rsid w:val="0021149F"/>
    <w:rsid w:val="00211588"/>
    <w:rsid w:val="00221CEA"/>
    <w:rsid w:val="0022651B"/>
    <w:rsid w:val="00236015"/>
    <w:rsid w:val="00272D7B"/>
    <w:rsid w:val="0028109B"/>
    <w:rsid w:val="002C1609"/>
    <w:rsid w:val="002D052E"/>
    <w:rsid w:val="002F6358"/>
    <w:rsid w:val="003037B9"/>
    <w:rsid w:val="003228ED"/>
    <w:rsid w:val="00381C83"/>
    <w:rsid w:val="00394CED"/>
    <w:rsid w:val="003E634C"/>
    <w:rsid w:val="00431BD9"/>
    <w:rsid w:val="00432572"/>
    <w:rsid w:val="0043516B"/>
    <w:rsid w:val="00437FA4"/>
    <w:rsid w:val="00453687"/>
    <w:rsid w:val="0049359E"/>
    <w:rsid w:val="004A1E55"/>
    <w:rsid w:val="004A36AB"/>
    <w:rsid w:val="004D082E"/>
    <w:rsid w:val="004D0D7E"/>
    <w:rsid w:val="004D50DE"/>
    <w:rsid w:val="004E00F2"/>
    <w:rsid w:val="004F7ED8"/>
    <w:rsid w:val="00514312"/>
    <w:rsid w:val="00522A49"/>
    <w:rsid w:val="00526C1D"/>
    <w:rsid w:val="0053266D"/>
    <w:rsid w:val="00547E08"/>
    <w:rsid w:val="00560BFF"/>
    <w:rsid w:val="00590026"/>
    <w:rsid w:val="005909B0"/>
    <w:rsid w:val="00595727"/>
    <w:rsid w:val="005A160C"/>
    <w:rsid w:val="005C5608"/>
    <w:rsid w:val="005D564D"/>
    <w:rsid w:val="005E7111"/>
    <w:rsid w:val="005F4A71"/>
    <w:rsid w:val="00610BC9"/>
    <w:rsid w:val="006123A6"/>
    <w:rsid w:val="006156FB"/>
    <w:rsid w:val="00632F20"/>
    <w:rsid w:val="0064553A"/>
    <w:rsid w:val="00657D12"/>
    <w:rsid w:val="006735AB"/>
    <w:rsid w:val="006756E7"/>
    <w:rsid w:val="00675C40"/>
    <w:rsid w:val="00693E46"/>
    <w:rsid w:val="006A6B51"/>
    <w:rsid w:val="006B66C3"/>
    <w:rsid w:val="006F7BAB"/>
    <w:rsid w:val="0072734A"/>
    <w:rsid w:val="0073447E"/>
    <w:rsid w:val="007555C5"/>
    <w:rsid w:val="00764E00"/>
    <w:rsid w:val="007662DC"/>
    <w:rsid w:val="00770F1F"/>
    <w:rsid w:val="007A5AA3"/>
    <w:rsid w:val="007F7BF8"/>
    <w:rsid w:val="00800B57"/>
    <w:rsid w:val="00815407"/>
    <w:rsid w:val="00817DCC"/>
    <w:rsid w:val="00840D31"/>
    <w:rsid w:val="00857244"/>
    <w:rsid w:val="0086467A"/>
    <w:rsid w:val="008846BD"/>
    <w:rsid w:val="00886F06"/>
    <w:rsid w:val="00893664"/>
    <w:rsid w:val="00893B2E"/>
    <w:rsid w:val="008B502F"/>
    <w:rsid w:val="008E113E"/>
    <w:rsid w:val="008F6923"/>
    <w:rsid w:val="008F7638"/>
    <w:rsid w:val="0090633D"/>
    <w:rsid w:val="00910CA9"/>
    <w:rsid w:val="00922152"/>
    <w:rsid w:val="009534D6"/>
    <w:rsid w:val="00956ECC"/>
    <w:rsid w:val="00960176"/>
    <w:rsid w:val="00967A1C"/>
    <w:rsid w:val="00976207"/>
    <w:rsid w:val="009C0B7E"/>
    <w:rsid w:val="009C44F8"/>
    <w:rsid w:val="009D77D8"/>
    <w:rsid w:val="009E2FB6"/>
    <w:rsid w:val="00A04432"/>
    <w:rsid w:val="00A16791"/>
    <w:rsid w:val="00A167CA"/>
    <w:rsid w:val="00A40419"/>
    <w:rsid w:val="00A436FC"/>
    <w:rsid w:val="00A6310F"/>
    <w:rsid w:val="00A7036E"/>
    <w:rsid w:val="00A73155"/>
    <w:rsid w:val="00A82365"/>
    <w:rsid w:val="00A851BB"/>
    <w:rsid w:val="00A94743"/>
    <w:rsid w:val="00AD10B3"/>
    <w:rsid w:val="00AF114E"/>
    <w:rsid w:val="00B04971"/>
    <w:rsid w:val="00B1315F"/>
    <w:rsid w:val="00B1395A"/>
    <w:rsid w:val="00B15001"/>
    <w:rsid w:val="00B31A32"/>
    <w:rsid w:val="00B41A64"/>
    <w:rsid w:val="00B463DA"/>
    <w:rsid w:val="00B55FEA"/>
    <w:rsid w:val="00B90ADC"/>
    <w:rsid w:val="00B93D62"/>
    <w:rsid w:val="00BC5619"/>
    <w:rsid w:val="00BD1861"/>
    <w:rsid w:val="00BD1D22"/>
    <w:rsid w:val="00BE0C34"/>
    <w:rsid w:val="00BF268E"/>
    <w:rsid w:val="00C2370C"/>
    <w:rsid w:val="00C2475F"/>
    <w:rsid w:val="00C27BA8"/>
    <w:rsid w:val="00C32C32"/>
    <w:rsid w:val="00C3402B"/>
    <w:rsid w:val="00C424BD"/>
    <w:rsid w:val="00C470BD"/>
    <w:rsid w:val="00C47294"/>
    <w:rsid w:val="00C820AC"/>
    <w:rsid w:val="00C842D4"/>
    <w:rsid w:val="00CA3311"/>
    <w:rsid w:val="00CA684A"/>
    <w:rsid w:val="00CB3393"/>
    <w:rsid w:val="00CC075E"/>
    <w:rsid w:val="00CC3829"/>
    <w:rsid w:val="00CC497A"/>
    <w:rsid w:val="00CC62FC"/>
    <w:rsid w:val="00CC6666"/>
    <w:rsid w:val="00CE56BE"/>
    <w:rsid w:val="00CE5DF7"/>
    <w:rsid w:val="00CF19B1"/>
    <w:rsid w:val="00D0242C"/>
    <w:rsid w:val="00D60B3F"/>
    <w:rsid w:val="00D80EE6"/>
    <w:rsid w:val="00D924E4"/>
    <w:rsid w:val="00D93A21"/>
    <w:rsid w:val="00D94803"/>
    <w:rsid w:val="00D94CC2"/>
    <w:rsid w:val="00DA3E23"/>
    <w:rsid w:val="00DB213D"/>
    <w:rsid w:val="00DB5D44"/>
    <w:rsid w:val="00DE1A18"/>
    <w:rsid w:val="00DE67AF"/>
    <w:rsid w:val="00DE6A16"/>
    <w:rsid w:val="00DF2E66"/>
    <w:rsid w:val="00DF67A2"/>
    <w:rsid w:val="00E05F52"/>
    <w:rsid w:val="00E24FFB"/>
    <w:rsid w:val="00E253F4"/>
    <w:rsid w:val="00E25F6B"/>
    <w:rsid w:val="00E3069B"/>
    <w:rsid w:val="00E446F8"/>
    <w:rsid w:val="00E51BEF"/>
    <w:rsid w:val="00E51E9F"/>
    <w:rsid w:val="00E532B4"/>
    <w:rsid w:val="00E613D6"/>
    <w:rsid w:val="00E66CF9"/>
    <w:rsid w:val="00E83317"/>
    <w:rsid w:val="00E863C5"/>
    <w:rsid w:val="00EB0DB4"/>
    <w:rsid w:val="00EB7E3D"/>
    <w:rsid w:val="00EC163D"/>
    <w:rsid w:val="00EC2439"/>
    <w:rsid w:val="00EE76A9"/>
    <w:rsid w:val="00EF0993"/>
    <w:rsid w:val="00F1032E"/>
    <w:rsid w:val="00F341F3"/>
    <w:rsid w:val="00F45D56"/>
    <w:rsid w:val="00F5769C"/>
    <w:rsid w:val="00F66BD4"/>
    <w:rsid w:val="00F81056"/>
    <w:rsid w:val="00F85BFD"/>
    <w:rsid w:val="00F85DEC"/>
    <w:rsid w:val="00F878CB"/>
    <w:rsid w:val="00F9585B"/>
    <w:rsid w:val="00FB301C"/>
    <w:rsid w:val="00FC4C38"/>
    <w:rsid w:val="00FC6352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65042-2FF3-47F1-B17D-31065E6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675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C4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fp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F5D6-0EC0-4FE9-91EA-BCFC17B9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Курманов Дмитрий</cp:lastModifiedBy>
  <cp:revision>4</cp:revision>
  <cp:lastPrinted>2014-12-24T13:54:00Z</cp:lastPrinted>
  <dcterms:created xsi:type="dcterms:W3CDTF">2014-12-24T15:42:00Z</dcterms:created>
  <dcterms:modified xsi:type="dcterms:W3CDTF">2014-12-24T15:43:00Z</dcterms:modified>
</cp:coreProperties>
</file>