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color w:val="131313"/>
          <w:spacing w:val="-2"/>
          <w:position w:val="3"/>
          <w:sz w:val="28"/>
          <w:szCs w:val="28"/>
          <w:u w:val="single"/>
        </w:rPr>
      </w:pPr>
      <w:r>
        <w:rPr>
          <w:rFonts w:ascii="Times New Roman" w:hAnsi="Times New Roman" w:cs="Times New Roman"/>
          <w:color w:val="131313"/>
          <w:spacing w:val="-2"/>
          <w:position w:val="3"/>
          <w:sz w:val="28"/>
          <w:szCs w:val="28"/>
          <w:u w:val="single"/>
        </w:rPr>
        <w:t xml:space="preserve">Выписка из Регламента</w:t>
      </w:r>
      <w:r>
        <w:rPr>
          <w:rFonts w:ascii="Times New Roman" w:hAnsi="Times New Roman" w:cs="Times New Roman"/>
          <w:color w:val="131313"/>
          <w:spacing w:val="-2"/>
          <w:position w:val="3"/>
          <w:sz w:val="28"/>
          <w:szCs w:val="28"/>
          <w:u w:val="singl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131313"/>
          <w:spacing w:val="-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131313"/>
          <w:spacing w:val="-2"/>
          <w:position w:val="3"/>
          <w:sz w:val="24"/>
          <w:szCs w:val="24"/>
        </w:rPr>
        <w:t xml:space="preserve">О порядке рассмотрения обращений получателей финансовых услуг, оказываемых Микрокредитной компанией Тульский областной фонд поддержки малого предпринимательства</w:t>
      </w:r>
      <w:r>
        <w:rPr>
          <w:rFonts w:ascii="Times New Roman" w:hAnsi="Times New Roman" w:cs="Times New Roman"/>
          <w:color w:val="131313"/>
          <w:spacing w:val="-2"/>
          <w:position w:val="3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color w:val="131313"/>
          <w:spacing w:val="-2"/>
          <w:position w:val="3"/>
          <w:sz w:val="28"/>
          <w:szCs w:val="28"/>
        </w:rPr>
      </w:pPr>
      <w:r>
        <w:rPr>
          <w:rFonts w:ascii="Times New Roman" w:hAnsi="Times New Roman" w:cs="Times New Roman"/>
          <w:color w:val="131313"/>
          <w:spacing w:val="-2"/>
          <w:position w:val="3"/>
          <w:sz w:val="28"/>
          <w:szCs w:val="28"/>
        </w:rPr>
      </w:r>
      <w:r>
        <w:rPr>
          <w:rFonts w:ascii="Times New Roman" w:hAnsi="Times New Roman" w:cs="Times New Roman"/>
          <w:color w:val="131313"/>
          <w:spacing w:val="-2"/>
          <w:position w:val="3"/>
          <w:sz w:val="28"/>
          <w:szCs w:val="28"/>
        </w:rPr>
      </w:r>
    </w:p>
    <w:p>
      <w:pPr>
        <w:ind w:firstLine="708"/>
        <w:jc w:val="both"/>
        <w:spacing w:after="125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708"/>
        <w:jc w:val="both"/>
        <w:spacing w:after="125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708"/>
        <w:jc w:val="both"/>
        <w:spacing w:after="125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Обращения (жалобы, запросы, предложения, требования, заявления, сообщения и т.д.) получателей финансовых услуг, а также запрошенные организацией у них документы (копии) и сведения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принимаются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МКК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ТОФПМП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Путем предоставления документов получателем финансовой услуги (представителем получателя) в офис организации по адресу: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300004 Тульская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область, г.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Тула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Кирова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135, корп.1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оф.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419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рабочие дни с понедельника 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четверг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09 час.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00 мин. до 18 час. 00 мин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пятницу с 9 час. 00 мин. до 17 час. 00 мин.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местного времени;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Почтовым отправлением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подписанные собственной, в т.ч электронной  подписью заемщика, либо подписью представителя заемщика с приложением подлинника/надлежащей копии документа, подтверждающего полномочия представителя, по адресу: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300004 Тульская область, г. Тула, ул. Кирова, 135, корп.1, оф. 419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электронной почте: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tofpmp</w:t>
      </w:r>
      <w:r>
        <w:rPr>
          <w:rFonts w:ascii="Times New Roman" w:hAnsi="Times New Roman" w:cs="Times New Roman"/>
          <w:sz w:val="28"/>
          <w:szCs w:val="28"/>
        </w:rPr>
        <w:t xml:space="preserve">@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mail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наличие подписи заявителя в обращении не требуется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125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8"/>
        <w:jc w:val="both"/>
        <w:spacing w:after="125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b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способы</w:t>
      </w:r>
      <w:r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ответа</w:t>
      </w:r>
      <w:r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обращение: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ответ на обращение 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направляется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способом, предусмотренным условиями договора, заключенного между Фондом и заявителем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В случае, если заявитель при направлении обращения указал способ направления ответа на обращение в форме электронного документа или на бумажном носителе, ответ на обращение должен быть направлен способом, указанным в обращении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.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</w:r>
      <w:r>
        <w:rPr>
          <w:rFonts w:ascii="Times New Roman" w:hAnsi="Times New Roman" w:cs="Times New Roman"/>
          <w:sz w:val="28"/>
          <w:szCs w:val="28"/>
          <w14:ligatures w14:val="standardContextual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1d1d1d"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color w:val="1d1d1d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</w:t>
      </w:r>
      <w:r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c0c0c"/>
          <w:sz w:val="28"/>
          <w:szCs w:val="28"/>
        </w:rPr>
        <w:t xml:space="preserve">к</w:t>
      </w:r>
      <w:r>
        <w:rPr>
          <w:rFonts w:ascii="Times New Roman" w:hAnsi="Times New Roman" w:cs="Times New Roman"/>
          <w:b/>
          <w:color w:val="0c0c0c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содержанию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обращения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</w:r>
      <w:r>
        <w:rPr>
          <w:rFonts w:ascii="Times New Roman" w:hAnsi="Times New Roman" w:cs="Times New Roman"/>
          <w:sz w:val="28"/>
          <w:szCs w:val="28"/>
          <w14:ligatures w14:val="standardContextual"/>
        </w:rPr>
      </w:r>
    </w:p>
    <w:p>
      <w:pPr>
        <w:ind w:left="142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Обращение получателя финансовой услуги должно содержать 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отношении получателя финансовой услуги, являющегося индивидуальным предпринимателем, </w:t>
      </w:r>
      <w:r>
        <w:rPr>
          <w:rFonts w:ascii="Times New Roman" w:hAnsi="Times New Roman" w:cs="Times New Roman"/>
          <w:color w:val="0c0c0c"/>
          <w:sz w:val="28"/>
          <w:szCs w:val="28"/>
        </w:rPr>
        <w:t xml:space="preserve">фамилию, </w:t>
      </w:r>
      <w:r>
        <w:rPr>
          <w:rFonts w:ascii="Times New Roman" w:hAnsi="Times New Roman" w:cs="Times New Roman"/>
          <w:sz w:val="28"/>
          <w:szCs w:val="28"/>
        </w:rPr>
        <w:t xml:space="preserve">имя, отчество (при наличии), адрес (почтовый или электронный) для направления ответа на обращение; в отношении получателя финансовой услуги, являющегося юридическим лицом, полное наименование 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место нахождения юридического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7"/>
        <w:ind w:left="142" w:firstLine="566"/>
        <w:rPr>
          <w:color w:val="0f0f0f"/>
          <w:sz w:val="28"/>
          <w:szCs w:val="28"/>
        </w:rPr>
      </w:pPr>
      <w:r>
        <w:rPr>
          <w:sz w:val="28"/>
          <w:szCs w:val="28"/>
        </w:rPr>
        <w:t xml:space="preserve">Рекомендуется включение </w:t>
      </w:r>
      <w:r>
        <w:rPr>
          <w:color w:val="0e0e0e"/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обращение следующей информации и документов (при </w:t>
      </w:r>
      <w:r>
        <w:rPr>
          <w:color w:val="0f0f0f"/>
          <w:sz w:val="28"/>
          <w:szCs w:val="28"/>
        </w:rPr>
        <w:t xml:space="preserve">их </w:t>
      </w:r>
      <w:r>
        <w:rPr>
          <w:sz w:val="28"/>
          <w:szCs w:val="28"/>
        </w:rPr>
        <w:t xml:space="preserve">наличии):</w:t>
      </w:r>
      <w:r>
        <w:rPr>
          <w:color w:val="0f0f0f"/>
          <w:sz w:val="28"/>
          <w:szCs w:val="28"/>
        </w:rPr>
      </w:r>
    </w:p>
    <w:p>
      <w:pPr>
        <w:pStyle w:val="627"/>
        <w:numPr>
          <w:ilvl w:val="1"/>
          <w:numId w:val="1"/>
        </w:numPr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номер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получателем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pacing w:val="-3"/>
          <w:sz w:val="28"/>
          <w:szCs w:val="28"/>
        </w:rPr>
        <w:t xml:space="preserve"> </w:t>
      </w:r>
      <w:r>
        <w:rPr>
          <w:color w:val="1c1c1c"/>
          <w:sz w:val="28"/>
          <w:szCs w:val="28"/>
        </w:rPr>
        <w:t xml:space="preserve">и</w:t>
      </w:r>
      <w:r>
        <w:rPr>
          <w:color w:val="1c1c1c"/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Фондом;</w:t>
      </w:r>
      <w:r>
        <w:rPr>
          <w:sz w:val="28"/>
          <w:szCs w:val="28"/>
        </w:rPr>
      </w:r>
    </w:p>
    <w:p>
      <w:pPr>
        <w:pStyle w:val="627"/>
        <w:numPr>
          <w:ilvl w:val="1"/>
          <w:numId w:val="1"/>
        </w:numPr>
        <w:ind w:left="142" w:firstLine="0"/>
        <w:tabs>
          <w:tab w:val="left" w:pos="709" w:leader="none"/>
          <w:tab w:val="left" w:pos="151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изложение существа требований и фактических обстоятельств,</w:t>
      </w:r>
      <w:r>
        <w:rPr>
          <w:spacing w:val="-10"/>
          <w:sz w:val="28"/>
          <w:szCs w:val="28"/>
        </w:rPr>
        <w:t xml:space="preserve"> </w:t>
      </w:r>
      <w:r>
        <w:rPr>
          <w:color w:val="0e0e0e"/>
          <w:sz w:val="28"/>
          <w:szCs w:val="28"/>
        </w:rPr>
        <w:t xml:space="preserve">на </w:t>
      </w:r>
      <w:r>
        <w:rPr>
          <w:sz w:val="28"/>
          <w:szCs w:val="28"/>
        </w:rPr>
        <w:t xml:space="preserve">которых основаны заявленные требования, </w:t>
      </w:r>
      <w:r>
        <w:rPr>
          <w:color w:val="282828"/>
          <w:sz w:val="28"/>
          <w:szCs w:val="28"/>
        </w:rPr>
        <w:t xml:space="preserve">а</w:t>
      </w:r>
      <w:r>
        <w:rPr>
          <w:color w:val="282828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доказательства,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подтверждающие эти обстоятельства;</w:t>
      </w:r>
      <w:r>
        <w:rPr>
          <w:sz w:val="28"/>
          <w:szCs w:val="28"/>
        </w:rPr>
      </w:r>
    </w:p>
    <w:p>
      <w:pPr>
        <w:pStyle w:val="627"/>
        <w:numPr>
          <w:ilvl w:val="1"/>
          <w:numId w:val="1"/>
        </w:numPr>
        <w:ind w:left="142" w:firstLine="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наименование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должности,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фамилии,</w:t>
      </w:r>
      <w:r>
        <w:rPr>
          <w:spacing w:val="80"/>
          <w:sz w:val="28"/>
          <w:szCs w:val="28"/>
        </w:rPr>
        <w:t xml:space="preserve"> </w:t>
      </w:r>
      <w:r>
        <w:rPr>
          <w:color w:val="0c0c0c"/>
          <w:sz w:val="28"/>
          <w:szCs w:val="28"/>
        </w:rPr>
        <w:t xml:space="preserve">имени</w:t>
      </w:r>
      <w:r>
        <w:rPr>
          <w:color w:val="0c0c0c"/>
          <w:spacing w:val="80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 xml:space="preserve">и</w:t>
      </w:r>
      <w:r>
        <w:rPr>
          <w:color w:val="262626"/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отчества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наличии) </w:t>
      </w:r>
      <w:r>
        <w:rPr>
          <w:color w:val="0f0f0f"/>
          <w:sz w:val="28"/>
          <w:szCs w:val="28"/>
        </w:rPr>
        <w:t xml:space="preserve">работника </w:t>
      </w:r>
      <w:r>
        <w:rPr>
          <w:sz w:val="28"/>
          <w:szCs w:val="28"/>
        </w:rPr>
        <w:t xml:space="preserve">Фонда, действия (бездействие) которого обжалуются;</w:t>
      </w:r>
      <w:r>
        <w:rPr>
          <w:sz w:val="28"/>
          <w:szCs w:val="28"/>
        </w:rPr>
      </w:r>
    </w:p>
    <w:p>
      <w:pPr>
        <w:pStyle w:val="627"/>
        <w:numPr>
          <w:ilvl w:val="1"/>
          <w:numId w:val="1"/>
        </w:numPr>
        <w:ind w:left="142" w:firstLine="0"/>
        <w:tabs>
          <w:tab w:val="left" w:pos="709" w:leader="none"/>
          <w:tab w:val="left" w:pos="16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иные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получатель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считает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необходимым </w:t>
      </w:r>
      <w:r>
        <w:rPr>
          <w:spacing w:val="-2"/>
          <w:sz w:val="28"/>
          <w:szCs w:val="28"/>
        </w:rPr>
        <w:t xml:space="preserve">сообщить;</w:t>
      </w:r>
      <w:r>
        <w:rPr>
          <w:sz w:val="28"/>
          <w:szCs w:val="28"/>
        </w:rPr>
      </w:r>
    </w:p>
    <w:p>
      <w:pPr>
        <w:pStyle w:val="627"/>
        <w:numPr>
          <w:ilvl w:val="1"/>
          <w:numId w:val="1"/>
        </w:numPr>
        <w:ind w:left="142" w:firstLine="0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копии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подтверждающих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изложенные</w:t>
      </w:r>
      <w:r>
        <w:rPr>
          <w:spacing w:val="40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в</w:t>
      </w:r>
      <w:r>
        <w:rPr>
          <w:color w:val="212121"/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обращении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обстоятельства.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 xml:space="preserve">В этом случае 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приводится перечень прилагаемых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нему документов.</w:t>
      </w:r>
      <w:r>
        <w:rPr>
          <w:sz w:val="28"/>
          <w:szCs w:val="28"/>
        </w:rPr>
      </w:r>
    </w:p>
    <w:p>
      <w:pPr>
        <w:ind w:left="142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left="142"/>
        <w:jc w:val="both"/>
        <w:spacing w:after="0" w:line="240" w:lineRule="auto"/>
        <w:rPr>
          <w:rFonts w:ascii="Times New Roman" w:hAnsi="Times New Roman" w:eastAsia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ff0000"/>
          <w:sz w:val="26"/>
          <w:szCs w:val="26"/>
          <w:lang w:eastAsia="ru-RU"/>
        </w:rPr>
        <w:t xml:space="preserve">                                         </w:t>
      </w:r>
      <w:r>
        <w:rPr>
          <w:rFonts w:ascii="Times New Roman" w:hAnsi="Times New Roman" w:eastAsia="Times New Roman" w:cs="Times New Roman"/>
          <w:color w:val="ff0000"/>
          <w:sz w:val="26"/>
          <w:szCs w:val="26"/>
          <w:lang w:eastAsia="ru-RU"/>
        </w:rPr>
      </w:r>
    </w:p>
    <w:p>
      <w:pPr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sectPr>
      <w:footnotePr/>
      <w:endnotePr/>
      <w:type w:val="nextPage"/>
      <w:pgSz w:w="11906" w:h="16838" w:orient="portrait"/>
      <w:pgMar w:top="79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7" w:hanging="352"/>
      </w:pPr>
      <w:rPr>
        <w:rFonts w:hint="default"/>
        <w:spacing w:val="0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4600" w:hanging="363"/>
        <w:jc w:val="right"/>
      </w:pPr>
      <w:rPr>
        <w:rFonts w:hint="default"/>
        <w:spacing w:val="0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135" w:hanging="567"/>
      </w:pPr>
      <w:rPr>
        <w:rFonts w:hint="default"/>
        <w:spacing w:val="0"/>
        <w:lang w:val="ru-RU" w:eastAsia="en-US" w:bidi="ar-SA"/>
      </w:rPr>
    </w:lvl>
    <w:lvl w:ilvl="3">
      <w:start w:val="1"/>
      <w:numFmt w:val="decimal"/>
      <w:isLgl w:val="false"/>
      <w:suff w:val="tab"/>
      <w:lvlText w:val="%4)"/>
      <w:lvlJc w:val="left"/>
      <w:pPr>
        <w:ind w:left="1068" w:hanging="56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5"/>
        <w:szCs w:val="25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40" w:hanging="56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960" w:hanging="56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000" w:hanging="56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060" w:hanging="56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20" w:hanging="56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3" w:hanging="429"/>
      </w:pPr>
      <w:rPr>
        <w:rFonts w:hint="default"/>
        <w:spacing w:val="0"/>
        <w:lang w:val="ru-RU" w:eastAsia="en-US" w:bidi="ar-SA"/>
      </w:rPr>
    </w:lvl>
    <w:lvl w:ilvl="1">
      <w:start w:val="1"/>
      <w:numFmt w:val="decimal"/>
      <w:isLgl w:val="false"/>
      <w:suff w:val="tab"/>
      <w:lvlText w:val="%2)"/>
      <w:lvlJc w:val="left"/>
      <w:pPr>
        <w:ind w:left="1522" w:hanging="263"/>
      </w:pPr>
      <w:rPr>
        <w:rFonts w:hint="default"/>
        <w:spacing w:val="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60" w:hanging="26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00" w:hanging="26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41" w:hanging="26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81" w:hanging="26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21" w:hanging="26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62" w:hanging="26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02" w:hanging="2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2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character" w:styleId="625">
    <w:name w:val="Hyperlink"/>
    <w:basedOn w:val="622"/>
    <w:uiPriority w:val="99"/>
    <w:unhideWhenUsed/>
    <w:rPr>
      <w:color w:val="0000ff"/>
      <w:u w:val="single"/>
    </w:rPr>
  </w:style>
  <w:style w:type="character" w:styleId="626">
    <w:name w:val="Unresolved Mention"/>
    <w:basedOn w:val="622"/>
    <w:uiPriority w:val="99"/>
    <w:semiHidden/>
    <w:unhideWhenUsed/>
    <w:rPr>
      <w:color w:val="605e5c"/>
      <w:shd w:val="clear" w:color="auto" w:fill="e1dfdd"/>
    </w:rPr>
  </w:style>
  <w:style w:type="paragraph" w:styleId="627">
    <w:name w:val="List Paragraph"/>
    <w:basedOn w:val="621"/>
    <w:uiPriority w:val="1"/>
    <w:qFormat/>
    <w:pPr>
      <w:ind w:left="903" w:firstLine="567"/>
      <w:jc w:val="both"/>
      <w:spacing w:after="0" w:line="240" w:lineRule="auto"/>
      <w:widowControl w:val="off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Софья Орлова</cp:lastModifiedBy>
  <cp:revision>8</cp:revision>
  <dcterms:created xsi:type="dcterms:W3CDTF">2025-03-31T07:32:00Z</dcterms:created>
  <dcterms:modified xsi:type="dcterms:W3CDTF">2025-05-06T06:19:46Z</dcterms:modified>
</cp:coreProperties>
</file>